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2" w:rsidRPr="00C116FC" w:rsidRDefault="00526112" w:rsidP="00736FA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ZMIANA NR 1 </w:t>
      </w:r>
      <w:r w:rsidRPr="00C1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C1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WARUNKÓW ZAMÓWIENIA</w:t>
      </w:r>
    </w:p>
    <w:p w:rsidR="00526112" w:rsidRPr="00C116FC" w:rsidRDefault="00526112" w:rsidP="00736F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526112" w:rsidRPr="00C116FC" w:rsidRDefault="00526112" w:rsidP="00736F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ZP.0271.3.2022 </w:t>
      </w:r>
    </w:p>
    <w:p w:rsidR="00526112" w:rsidRPr="00C116FC" w:rsidRDefault="00526112" w:rsidP="00736F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526112" w:rsidRPr="00C116FC" w:rsidRDefault="00526112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 w:rsidRPr="00C116FC">
        <w:rPr>
          <w:rFonts w:ascii="Times New Roman" w:hAnsi="Times New Roman" w:cs="Times New Roman"/>
          <w:b/>
          <w:bCs/>
          <w:sz w:val="24"/>
          <w:szCs w:val="26"/>
          <w:u w:val="single"/>
        </w:rPr>
        <w:t>Specyfikacja Warunków Zamówienia dla zamówień publicznych na roboty budowlane pn.: </w:t>
      </w:r>
      <w:bookmarkStart w:id="0" w:name="_Hlk24997501"/>
      <w:bookmarkEnd w:id="0"/>
      <w:r w:rsidRPr="00C116FC">
        <w:rPr>
          <w:rFonts w:ascii="Times New Roman" w:hAnsi="Times New Roman" w:cs="Times New Roman"/>
          <w:b/>
          <w:bCs/>
          <w:sz w:val="24"/>
          <w:szCs w:val="26"/>
          <w:u w:val="single"/>
        </w:rPr>
        <w:t>„</w:t>
      </w:r>
      <w:bookmarkStart w:id="1" w:name="_Hlk101436412"/>
      <w:r w:rsidRPr="00C116FC">
        <w:rPr>
          <w:rFonts w:ascii="Times New Roman" w:hAnsi="Times New Roman" w:cs="Times New Roman"/>
          <w:b/>
          <w:bCs/>
          <w:sz w:val="24"/>
          <w:szCs w:val="26"/>
          <w:u w:val="single"/>
        </w:rPr>
        <w:t>Przebudowa i rozbudowa sieci wodociągowej, budowa sieci kanalizacyjnej z przepompowniami, zakup sprzętu do oczyszczalni ścieków na terenie gminy Domanice</w:t>
      </w:r>
      <w:bookmarkEnd w:id="1"/>
      <w:r w:rsidRPr="00C116FC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”  </w:t>
      </w:r>
    </w:p>
    <w:p w:rsidR="00736FA1" w:rsidRDefault="00736FA1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</w:p>
    <w:p w:rsidR="00526112" w:rsidRDefault="00526112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R</w:t>
      </w:r>
      <w:r w:rsidR="000C6FA6">
        <w:rPr>
          <w:rFonts w:ascii="Times New Roman" w:hAnsi="Times New Roman" w:cs="Times New Roman"/>
          <w:b/>
          <w:bCs/>
          <w:sz w:val="24"/>
          <w:szCs w:val="26"/>
          <w:u w:val="single"/>
        </w:rPr>
        <w:t>ozdział III ust.  2- 4 otrzymuje</w:t>
      </w: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</w:t>
      </w:r>
      <w:r w:rsidR="00386F04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następujące </w:t>
      </w: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brzmienie:</w:t>
      </w:r>
    </w:p>
    <w:p w:rsidR="00C8603E" w:rsidRPr="00C8603E" w:rsidRDefault="00C8603E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8603E">
        <w:rPr>
          <w:rFonts w:ascii="Times New Roman" w:hAnsi="Times New Roman" w:cs="Times New Roman"/>
          <w:bCs/>
          <w:sz w:val="24"/>
          <w:szCs w:val="26"/>
        </w:rPr>
        <w:t xml:space="preserve">„2. </w:t>
      </w:r>
      <w:r w:rsidR="00526112" w:rsidRPr="00C8603E">
        <w:rPr>
          <w:rFonts w:ascii="Times New Roman" w:hAnsi="Times New Roman" w:cs="Times New Roman"/>
          <w:sz w:val="24"/>
          <w:szCs w:val="24"/>
        </w:rPr>
        <w:t>Szczegółowy opis przedmiotu zamówienia zawiera dokumentacja projektowa (załącznik nr 10.1, 10.2.1</w:t>
      </w:r>
      <w:r w:rsidR="00A61D0C" w:rsidRPr="00C8603E">
        <w:rPr>
          <w:rFonts w:ascii="Times New Roman" w:hAnsi="Times New Roman" w:cs="Times New Roman"/>
          <w:sz w:val="24"/>
          <w:szCs w:val="24"/>
        </w:rPr>
        <w:t xml:space="preserve">, 10.2.2., </w:t>
      </w:r>
      <w:r w:rsidR="003F3CDE" w:rsidRPr="00C8603E">
        <w:rPr>
          <w:rFonts w:ascii="Times New Roman" w:hAnsi="Times New Roman" w:cs="Times New Roman"/>
          <w:sz w:val="24"/>
          <w:szCs w:val="24"/>
        </w:rPr>
        <w:t xml:space="preserve">i </w:t>
      </w:r>
      <w:r w:rsidR="00526112" w:rsidRPr="00C8603E">
        <w:rPr>
          <w:rFonts w:ascii="Times New Roman" w:hAnsi="Times New Roman" w:cs="Times New Roman"/>
          <w:sz w:val="24"/>
          <w:szCs w:val="24"/>
        </w:rPr>
        <w:t>10.2.3.</w:t>
      </w:r>
      <w:r w:rsidR="00A61D0C" w:rsidRPr="00C8603E">
        <w:rPr>
          <w:rFonts w:ascii="Times New Roman" w:hAnsi="Times New Roman" w:cs="Times New Roman"/>
          <w:sz w:val="24"/>
          <w:szCs w:val="24"/>
        </w:rPr>
        <w:t xml:space="preserve"> </w:t>
      </w:r>
      <w:r w:rsidR="00526112" w:rsidRPr="00C8603E">
        <w:rPr>
          <w:rFonts w:ascii="Times New Roman" w:hAnsi="Times New Roman" w:cs="Times New Roman"/>
          <w:sz w:val="24"/>
          <w:szCs w:val="24"/>
        </w:rPr>
        <w:t>do SWZ), opis sprzętu do oczyszczalni (załącznik nr 10.3 do SWZ) specyfikacje techniczne wykonania i odbioru robót budowlanych (</w:t>
      </w:r>
      <w:proofErr w:type="spellStart"/>
      <w:r w:rsidR="00526112" w:rsidRPr="00C8603E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="00526112" w:rsidRPr="00C8603E">
        <w:rPr>
          <w:rFonts w:ascii="Times New Roman" w:hAnsi="Times New Roman" w:cs="Times New Roman"/>
          <w:sz w:val="24"/>
          <w:szCs w:val="24"/>
        </w:rPr>
        <w:t xml:space="preserve">) (załącznik nr 11.1, 11.2 do SWZ) i przedmiar robót (załącznik nr 12.1, 12.2.1, 12.2.2 i 12.3 do SWZ).  </w:t>
      </w:r>
    </w:p>
    <w:p w:rsidR="00526112" w:rsidRPr="00C8603E" w:rsidRDefault="00C8603E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8603E">
        <w:rPr>
          <w:rFonts w:ascii="Times New Roman" w:hAnsi="Times New Roman" w:cs="Times New Roman"/>
          <w:bCs/>
          <w:sz w:val="24"/>
          <w:szCs w:val="26"/>
        </w:rPr>
        <w:t>3.</w:t>
      </w:r>
      <w:r w:rsidRPr="00C8603E">
        <w:rPr>
          <w:rFonts w:ascii="Times New Roman" w:hAnsi="Times New Roman" w:cs="Times New Roman"/>
          <w:sz w:val="24"/>
          <w:szCs w:val="24"/>
        </w:rPr>
        <w:t xml:space="preserve"> </w:t>
      </w:r>
      <w:r w:rsidR="00526112" w:rsidRPr="00C8603E">
        <w:rPr>
          <w:rFonts w:ascii="Times New Roman" w:hAnsi="Times New Roman" w:cs="Times New Roman"/>
          <w:sz w:val="24"/>
          <w:szCs w:val="24"/>
        </w:rPr>
        <w:t xml:space="preserve">W zakres </w:t>
      </w:r>
      <w:bookmarkStart w:id="2" w:name="_Hlk101430029"/>
      <w:r w:rsidR="00526112" w:rsidRPr="00C8603E">
        <w:rPr>
          <w:rFonts w:ascii="Times New Roman" w:hAnsi="Times New Roman" w:cs="Times New Roman"/>
          <w:sz w:val="24"/>
          <w:szCs w:val="24"/>
        </w:rPr>
        <w:t xml:space="preserve">zamówienia podstawowego </w:t>
      </w:r>
      <w:bookmarkEnd w:id="2"/>
      <w:r w:rsidR="00526112" w:rsidRPr="00C8603E">
        <w:rPr>
          <w:rFonts w:ascii="Times New Roman" w:hAnsi="Times New Roman" w:cs="Times New Roman"/>
          <w:sz w:val="24"/>
          <w:szCs w:val="24"/>
        </w:rPr>
        <w:t>wchodzą:</w:t>
      </w:r>
    </w:p>
    <w:p w:rsidR="00526112" w:rsidRPr="00C116FC" w:rsidRDefault="00526112" w:rsidP="00736FA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>wykonanie cał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116FC">
        <w:rPr>
          <w:rFonts w:ascii="Times New Roman" w:hAnsi="Times New Roman" w:cs="Times New Roman"/>
          <w:sz w:val="24"/>
          <w:szCs w:val="24"/>
        </w:rPr>
        <w:t xml:space="preserve"> sieci wodociągowej fi 110/6,6, 160/9,5 PE 100 wraz z przył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116FC">
        <w:rPr>
          <w:rFonts w:ascii="Times New Roman" w:hAnsi="Times New Roman" w:cs="Times New Roman"/>
          <w:sz w:val="24"/>
          <w:szCs w:val="24"/>
        </w:rPr>
        <w:t>czami, hydrantów ppoż. naziemnych DN 80 z zasuwą i </w:t>
      </w:r>
      <w:proofErr w:type="spellStart"/>
      <w:r w:rsidRPr="00C116FC">
        <w:rPr>
          <w:rFonts w:ascii="Times New Roman" w:hAnsi="Times New Roman" w:cs="Times New Roman"/>
          <w:sz w:val="24"/>
          <w:szCs w:val="24"/>
        </w:rPr>
        <w:t>odgałęzieniami</w:t>
      </w:r>
      <w:proofErr w:type="spellEnd"/>
      <w:r w:rsidRPr="00C116FC">
        <w:rPr>
          <w:rFonts w:ascii="Times New Roman" w:hAnsi="Times New Roman" w:cs="Times New Roman"/>
          <w:sz w:val="24"/>
          <w:szCs w:val="24"/>
        </w:rPr>
        <w:t xml:space="preserve"> sieci, zasuw żeliwnych kołnierzowych DN 100 i DN 150 w m. Domanice – załącznik nr 10.1, 11.1 i 12.1 do SWZ;</w:t>
      </w:r>
    </w:p>
    <w:p w:rsidR="00526112" w:rsidRPr="00C116FC" w:rsidRDefault="00526112" w:rsidP="00790D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>budowa sieci kanalizacyjnej głównej Ø 200/5,9mm PVC SN 8, przewiertów Ø 200 PE RC, sieci ciśnieniowej Ø 110/4,2mm PE 100 (SDR 26), przepompowni ścieków Ø 1200 żelbetowych w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6FC">
        <w:rPr>
          <w:rFonts w:ascii="Times New Roman" w:hAnsi="Times New Roman" w:cs="Times New Roman"/>
          <w:sz w:val="24"/>
          <w:szCs w:val="24"/>
        </w:rPr>
        <w:t xml:space="preserve"> Domanice-Kolonia-Podzdrój – zakres robót opisany w załącznikach 10.2</w:t>
      </w:r>
      <w:r>
        <w:rPr>
          <w:rFonts w:ascii="Times New Roman" w:hAnsi="Times New Roman" w:cs="Times New Roman"/>
          <w:sz w:val="24"/>
          <w:szCs w:val="24"/>
        </w:rPr>
        <w:t>.2, 10.2.3</w:t>
      </w:r>
      <w:r w:rsidR="00790DCA">
        <w:rPr>
          <w:rFonts w:ascii="Times New Roman" w:hAnsi="Times New Roman" w:cs="Times New Roman"/>
          <w:sz w:val="24"/>
          <w:szCs w:val="24"/>
        </w:rPr>
        <w:t>.1, 10.2.3.2</w:t>
      </w:r>
      <w:r w:rsidRPr="00C116FC">
        <w:rPr>
          <w:rFonts w:ascii="Times New Roman" w:hAnsi="Times New Roman" w:cs="Times New Roman"/>
          <w:sz w:val="24"/>
          <w:szCs w:val="24"/>
        </w:rPr>
        <w:t>, i 11.2 do SWZ dotyczący tylko odcinka wskazanego na stronie nr 3 (</w:t>
      </w:r>
      <w:proofErr w:type="spellStart"/>
      <w:r w:rsidRPr="00C116FC">
        <w:rPr>
          <w:rFonts w:ascii="Times New Roman" w:hAnsi="Times New Roman" w:cs="Times New Roman"/>
          <w:sz w:val="24"/>
          <w:szCs w:val="24"/>
        </w:rPr>
        <w:t>STWiO</w:t>
      </w:r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C116FC">
        <w:rPr>
          <w:rFonts w:ascii="Times New Roman" w:hAnsi="Times New Roman" w:cs="Times New Roman"/>
          <w:sz w:val="24"/>
          <w:szCs w:val="24"/>
        </w:rPr>
        <w:t>) oznaczonego jako „I. Domanice</w:t>
      </w:r>
      <w:r w:rsidR="00AF40D8">
        <w:rPr>
          <w:rFonts w:ascii="Times New Roman" w:hAnsi="Times New Roman" w:cs="Times New Roman"/>
          <w:sz w:val="24"/>
          <w:szCs w:val="24"/>
        </w:rPr>
        <w:t xml:space="preserve"> </w:t>
      </w:r>
      <w:r w:rsidRPr="00C116FC">
        <w:rPr>
          <w:rFonts w:ascii="Times New Roman" w:hAnsi="Times New Roman" w:cs="Times New Roman"/>
          <w:sz w:val="24"/>
          <w:szCs w:val="24"/>
        </w:rPr>
        <w:t>Kolonia, Podzdrój” (strona nr 14 dokumentacji projektowej)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6FC">
        <w:rPr>
          <w:rFonts w:ascii="Times New Roman" w:hAnsi="Times New Roman" w:cs="Times New Roman"/>
          <w:sz w:val="24"/>
          <w:szCs w:val="24"/>
        </w:rPr>
        <w:t xml:space="preserve">bez przyłączy wskazanych w załącznikach nr </w:t>
      </w:r>
      <w:r w:rsidR="00790DCA" w:rsidRPr="00790DCA">
        <w:rPr>
          <w:rFonts w:ascii="Times New Roman" w:hAnsi="Times New Roman" w:cs="Times New Roman"/>
          <w:sz w:val="24"/>
          <w:szCs w:val="24"/>
        </w:rPr>
        <w:t xml:space="preserve">10.2.2, 10.2.3.1, 10.2.3.2, i 11.2 </w:t>
      </w:r>
      <w:r w:rsidRPr="00C116FC">
        <w:rPr>
          <w:rFonts w:ascii="Times New Roman" w:hAnsi="Times New Roman" w:cs="Times New Roman"/>
          <w:sz w:val="24"/>
          <w:szCs w:val="24"/>
        </w:rPr>
        <w:t>do SWZ oraz budowa przyłączy (2 sztuki) do działek gminnych (załącznik nr 10.2.1 do SWZ) – cały zakres niniejszego punktu został zawarty w przedmiarze stanowiącym załącznik nr 12.2.1 do SWZ</w:t>
      </w:r>
      <w:r>
        <w:rPr>
          <w:rFonts w:ascii="Times New Roman" w:hAnsi="Times New Roman" w:cs="Times New Roman"/>
          <w:sz w:val="24"/>
          <w:szCs w:val="24"/>
        </w:rPr>
        <w:t>, przedmiar ma charakter pomocniczy</w:t>
      </w:r>
      <w:r w:rsidRPr="00C116FC">
        <w:rPr>
          <w:rFonts w:ascii="Times New Roman" w:hAnsi="Times New Roman" w:cs="Times New Roman"/>
          <w:sz w:val="24"/>
          <w:szCs w:val="24"/>
        </w:rPr>
        <w:t>;</w:t>
      </w:r>
    </w:p>
    <w:p w:rsidR="00526112" w:rsidRPr="00C116FC" w:rsidRDefault="00526112" w:rsidP="00790D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>budowa sieci kanalizacyjnej głównej Ø 200/5,9mm PVC SN 8, przewiertów Ø 200 PE RC, sieci ciśnieniowej Ø 110/4,2mm PE 100 (SDR 26), przepompowni ścieków Ø 1200 żelbetowych w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6FC">
        <w:rPr>
          <w:rFonts w:ascii="Times New Roman" w:hAnsi="Times New Roman" w:cs="Times New Roman"/>
          <w:sz w:val="24"/>
          <w:szCs w:val="24"/>
        </w:rPr>
        <w:t xml:space="preserve"> Domanice-Kolonia-Pieńki – zakres robót opisany w załącznikach </w:t>
      </w:r>
      <w:r w:rsidR="00790DCA">
        <w:rPr>
          <w:rFonts w:ascii="Times New Roman" w:hAnsi="Times New Roman" w:cs="Times New Roman"/>
          <w:sz w:val="24"/>
          <w:szCs w:val="24"/>
        </w:rPr>
        <w:t>10.2.2, 10.2.3.1, 10.2.3.2,</w:t>
      </w:r>
      <w:bookmarkStart w:id="3" w:name="_GoBack"/>
      <w:bookmarkEnd w:id="3"/>
      <w:r w:rsidR="00790DCA" w:rsidRPr="00790DCA">
        <w:rPr>
          <w:rFonts w:ascii="Times New Roman" w:hAnsi="Times New Roman" w:cs="Times New Roman"/>
          <w:sz w:val="24"/>
          <w:szCs w:val="24"/>
        </w:rPr>
        <w:t xml:space="preserve"> 11.2 </w:t>
      </w:r>
      <w:r w:rsidR="00790DCA">
        <w:rPr>
          <w:rFonts w:ascii="Times New Roman" w:hAnsi="Times New Roman" w:cs="Times New Roman"/>
          <w:sz w:val="24"/>
          <w:szCs w:val="24"/>
        </w:rPr>
        <w:t xml:space="preserve">i </w:t>
      </w:r>
      <w:r w:rsidRPr="00C116FC">
        <w:rPr>
          <w:rFonts w:ascii="Times New Roman" w:hAnsi="Times New Roman" w:cs="Times New Roman"/>
          <w:sz w:val="24"/>
          <w:szCs w:val="24"/>
        </w:rPr>
        <w:t>12.2.2 do SWZ dotyczący tylko odcinka wskazanego na stronie nr 3 (</w:t>
      </w:r>
      <w:proofErr w:type="spellStart"/>
      <w:r w:rsidRPr="00C116FC">
        <w:rPr>
          <w:rFonts w:ascii="Times New Roman" w:hAnsi="Times New Roman" w:cs="Times New Roman"/>
          <w:sz w:val="24"/>
          <w:szCs w:val="24"/>
        </w:rPr>
        <w:t>STWiO</w:t>
      </w:r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C116FC">
        <w:rPr>
          <w:rFonts w:ascii="Times New Roman" w:hAnsi="Times New Roman" w:cs="Times New Roman"/>
          <w:sz w:val="24"/>
          <w:szCs w:val="24"/>
        </w:rPr>
        <w:t>)</w:t>
      </w:r>
      <w:r w:rsidR="00736FA1">
        <w:rPr>
          <w:rFonts w:ascii="Times New Roman" w:hAnsi="Times New Roman" w:cs="Times New Roman"/>
          <w:sz w:val="24"/>
          <w:szCs w:val="24"/>
        </w:rPr>
        <w:t xml:space="preserve"> oznaczonego jako „II. Domanice</w:t>
      </w:r>
      <w:r w:rsidR="00AF40D8">
        <w:rPr>
          <w:rFonts w:ascii="Times New Roman" w:hAnsi="Times New Roman" w:cs="Times New Roman"/>
          <w:sz w:val="24"/>
          <w:szCs w:val="24"/>
        </w:rPr>
        <w:t xml:space="preserve"> </w:t>
      </w:r>
      <w:r w:rsidRPr="00C116FC">
        <w:rPr>
          <w:rFonts w:ascii="Times New Roman" w:hAnsi="Times New Roman" w:cs="Times New Roman"/>
          <w:sz w:val="24"/>
          <w:szCs w:val="24"/>
        </w:rPr>
        <w:t>Kolonia, Pieńki (strona nr 14 dokumentacji projektowej) – na odcinku od miejscowości Domanice-Kolonia do przepompowni P4 bez przyłączy;</w:t>
      </w:r>
    </w:p>
    <w:p w:rsidR="00526112" w:rsidRPr="00C116FC" w:rsidRDefault="00526112" w:rsidP="00736FA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>zakup prasy do odwadnia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C116FC">
        <w:rPr>
          <w:rFonts w:ascii="Times New Roman" w:hAnsi="Times New Roman" w:cs="Times New Roman"/>
          <w:sz w:val="24"/>
          <w:szCs w:val="24"/>
        </w:rPr>
        <w:t xml:space="preserve"> osadów ściekowych wraz z kontenerem i pompami oraz </w:t>
      </w:r>
      <w:proofErr w:type="spellStart"/>
      <w:r w:rsidRPr="00C116FC">
        <w:rPr>
          <w:rFonts w:ascii="Times New Roman" w:hAnsi="Times New Roman" w:cs="Times New Roman"/>
          <w:sz w:val="24"/>
          <w:szCs w:val="24"/>
        </w:rPr>
        <w:t>mikrosita</w:t>
      </w:r>
      <w:proofErr w:type="spellEnd"/>
      <w:r w:rsidRPr="00C116FC">
        <w:rPr>
          <w:rFonts w:ascii="Times New Roman" w:hAnsi="Times New Roman" w:cs="Times New Roman"/>
          <w:sz w:val="24"/>
          <w:szCs w:val="24"/>
        </w:rPr>
        <w:t xml:space="preserve"> - załącznik nr 10.3 i 12.3 do SWZ.</w:t>
      </w:r>
    </w:p>
    <w:p w:rsidR="00526112" w:rsidRPr="00C8603E" w:rsidRDefault="00526112" w:rsidP="00736FA1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03E">
        <w:rPr>
          <w:rFonts w:ascii="Times New Roman" w:hAnsi="Times New Roman" w:cs="Times New Roman"/>
          <w:noProof/>
          <w:sz w:val="24"/>
          <w:szCs w:val="24"/>
        </w:rPr>
        <w:t xml:space="preserve">Zamawiający </w:t>
      </w:r>
      <w:r w:rsidRPr="00C8603E">
        <w:rPr>
          <w:rFonts w:ascii="Times New Roman" w:hAnsi="Times New Roman" w:cs="Times New Roman"/>
          <w:sz w:val="24"/>
          <w:szCs w:val="24"/>
        </w:rPr>
        <w:t>przewiduje możliwość zastosowania prawa opcji poprzez zwiększenie zakresu ilościowego zamówienia o budowę sieci kanalizacyjnej głównej Ø 200/5,9mm PVC SN 8, przewiertów Ø 200 PE RC, sieci ciśnieniowej Ø 110/4,2mm PE 100 (SDR 26), przepompowni ścieków Ø 1200 żelbetowych w m. Domanice-Kolonia-Pieńki – zakres robót opisany w załącznikach 10.2</w:t>
      </w:r>
      <w:r w:rsidR="00834473" w:rsidRPr="00C8603E">
        <w:rPr>
          <w:rFonts w:ascii="Times New Roman" w:hAnsi="Times New Roman" w:cs="Times New Roman"/>
          <w:sz w:val="24"/>
          <w:szCs w:val="24"/>
        </w:rPr>
        <w:t>.2, 10.2.4</w:t>
      </w:r>
      <w:r w:rsidRPr="00C8603E">
        <w:rPr>
          <w:rFonts w:ascii="Times New Roman" w:hAnsi="Times New Roman" w:cs="Times New Roman"/>
          <w:sz w:val="24"/>
          <w:szCs w:val="24"/>
        </w:rPr>
        <w:t xml:space="preserve"> i 11.2 do SWZ dotyczący odcinka wskazanego na stronie nr 3 (</w:t>
      </w:r>
      <w:proofErr w:type="spellStart"/>
      <w:r w:rsidRPr="00C8603E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C8603E">
        <w:rPr>
          <w:rFonts w:ascii="Times New Roman" w:hAnsi="Times New Roman" w:cs="Times New Roman"/>
          <w:sz w:val="24"/>
          <w:szCs w:val="24"/>
        </w:rPr>
        <w:t>) oznaczonego jako „II. Domanice Kolonia, Pieńki (strona nr 14 dokumentacji projektowej) – na odcinku od przepompowni P4 do końca miejscowości Pieńki bez przyłączy. Możliwość zastosowania prawa opcji, uprawnia Zamawiającego do udzielenia zamówienia wskazanego w zdaniu poprzedn</w:t>
      </w:r>
      <w:r w:rsidR="00C8603E">
        <w:rPr>
          <w:rFonts w:ascii="Times New Roman" w:hAnsi="Times New Roman" w:cs="Times New Roman"/>
          <w:sz w:val="24"/>
          <w:szCs w:val="24"/>
        </w:rPr>
        <w:t xml:space="preserve">im, na cały odcinek pominięty </w:t>
      </w:r>
      <w:r w:rsidR="00C8603E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C8603E">
        <w:rPr>
          <w:rFonts w:ascii="Times New Roman" w:hAnsi="Times New Roman" w:cs="Times New Roman"/>
          <w:sz w:val="24"/>
          <w:szCs w:val="24"/>
        </w:rPr>
        <w:t>zakresie podstawowym (rozdział III ust. 3 pkt 3 SWZ) lub na część odcinka pominiętego w zakresie podstawowym, z zależności od posiadanych środków, dokładny zakres będzie zależny od kosztorysu przedstawionego przez wykonawcę opracowanego na podstawie przedmiaru do zakresu zamówienia wynikającego z prawa opcji został zawarty w załączniku nr 12.2.3 do SWZ – przedmiar ma charakter pomocniczy.</w:t>
      </w:r>
      <w:r w:rsidR="00C8603E">
        <w:rPr>
          <w:rFonts w:ascii="Times New Roman" w:hAnsi="Times New Roman" w:cs="Times New Roman"/>
          <w:sz w:val="24"/>
          <w:szCs w:val="24"/>
        </w:rPr>
        <w:t>”</w:t>
      </w:r>
      <w:r w:rsidRPr="00C86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F04" w:rsidRDefault="00386F04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W rozdziale VII dodaje się ust. 1</w:t>
      </w:r>
      <w:r w:rsidRPr="00386F04">
        <w:rPr>
          <w:rFonts w:ascii="Times New Roman" w:hAnsi="Times New Roman" w:cs="Times New Roman"/>
          <w:b/>
          <w:bCs/>
          <w:sz w:val="24"/>
          <w:szCs w:val="26"/>
          <w:u w:val="single"/>
          <w:vertAlign w:val="superscript"/>
        </w:rPr>
        <w:t>1</w:t>
      </w:r>
      <w:r w:rsidR="009246D8">
        <w:rPr>
          <w:rFonts w:ascii="Times New Roman" w:hAnsi="Times New Roman" w:cs="Times New Roman"/>
          <w:b/>
          <w:bCs/>
          <w:sz w:val="24"/>
          <w:szCs w:val="26"/>
          <w:u w:val="single"/>
          <w:vertAlign w:val="superscript"/>
        </w:rPr>
        <w:t xml:space="preserve"> </w:t>
      </w:r>
      <w:r w:rsidR="009246D8" w:rsidRPr="009246D8">
        <w:rPr>
          <w:rFonts w:ascii="Times New Roman" w:hAnsi="Times New Roman" w:cs="Times New Roman"/>
          <w:b/>
          <w:bCs/>
          <w:sz w:val="24"/>
          <w:szCs w:val="26"/>
          <w:u w:val="single"/>
        </w:rPr>
        <w:t>i 1</w:t>
      </w:r>
      <w:r w:rsidR="009246D8">
        <w:rPr>
          <w:rFonts w:ascii="Times New Roman" w:hAnsi="Times New Roman" w:cs="Times New Roman"/>
          <w:b/>
          <w:bCs/>
          <w:sz w:val="24"/>
          <w:szCs w:val="26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,</w:t>
      </w:r>
      <w:r w:rsidR="009246D8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 które</w:t>
      </w: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otrzymuj</w:t>
      </w:r>
      <w:r w:rsidR="009246D8">
        <w:rPr>
          <w:rFonts w:ascii="Times New Roman" w:hAnsi="Times New Roman" w:cs="Times New Roman"/>
          <w:b/>
          <w:bCs/>
          <w:sz w:val="24"/>
          <w:szCs w:val="26"/>
          <w:u w:val="single"/>
        </w:rPr>
        <w:t>ą</w:t>
      </w: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brzmienie: </w:t>
      </w:r>
    </w:p>
    <w:p w:rsidR="009246D8" w:rsidRPr="009246D8" w:rsidRDefault="00386F04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246D8">
        <w:rPr>
          <w:rFonts w:ascii="Times New Roman" w:hAnsi="Times New Roman" w:cs="Times New Roman"/>
          <w:bCs/>
          <w:sz w:val="24"/>
          <w:szCs w:val="26"/>
        </w:rPr>
        <w:t>„1</w:t>
      </w:r>
      <w:r w:rsidRPr="009246D8">
        <w:rPr>
          <w:rFonts w:ascii="Times New Roman" w:hAnsi="Times New Roman" w:cs="Times New Roman"/>
          <w:bCs/>
          <w:sz w:val="24"/>
          <w:szCs w:val="26"/>
          <w:vertAlign w:val="superscript"/>
        </w:rPr>
        <w:t>1</w:t>
      </w:r>
      <w:r w:rsidRPr="009246D8">
        <w:rPr>
          <w:rFonts w:ascii="Times New Roman" w:hAnsi="Times New Roman" w:cs="Times New Roman"/>
          <w:bCs/>
          <w:sz w:val="24"/>
          <w:szCs w:val="26"/>
        </w:rPr>
        <w:t xml:space="preserve">. 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Ponadto z postępowania o udzielenie zamówienia publi</w:t>
      </w:r>
      <w:r w:rsidR="009246D8">
        <w:rPr>
          <w:rFonts w:ascii="Times New Roman" w:hAnsi="Times New Roman" w:cs="Times New Roman"/>
          <w:bCs/>
          <w:sz w:val="24"/>
          <w:szCs w:val="26"/>
        </w:rPr>
        <w:t xml:space="preserve">cznego, zgodnie z art. 7 ust. 1 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ustawy</w:t>
      </w:r>
      <w:r w:rsidR="009246D8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z dnia 13 kwietnia 2022 r. o szczególnych rozwiązaniach w zakresie przeciwdziałania</w:t>
      </w:r>
      <w:r w:rsidR="009246D8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wspieraniu agresji na Ukrainę oraz służących ochronie be</w:t>
      </w:r>
      <w:r w:rsidR="009246D8">
        <w:rPr>
          <w:rFonts w:ascii="Times New Roman" w:hAnsi="Times New Roman" w:cs="Times New Roman"/>
          <w:bCs/>
          <w:sz w:val="24"/>
          <w:szCs w:val="26"/>
        </w:rPr>
        <w:t>zpieczeństwa narodowego (Dz. U. 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z</w:t>
      </w:r>
      <w:r w:rsidR="009246D8">
        <w:rPr>
          <w:rFonts w:ascii="Times New Roman" w:hAnsi="Times New Roman" w:cs="Times New Roman"/>
          <w:bCs/>
          <w:sz w:val="24"/>
          <w:szCs w:val="26"/>
        </w:rPr>
        <w:t> </w:t>
      </w:r>
      <w:r w:rsidR="009246D8" w:rsidRPr="009246D8">
        <w:rPr>
          <w:rFonts w:ascii="Times New Roman" w:hAnsi="Times New Roman" w:cs="Times New Roman"/>
          <w:bCs/>
          <w:sz w:val="24"/>
          <w:szCs w:val="26"/>
        </w:rPr>
        <w:t>2022 r. poz. 835), wyklucza się:</w:t>
      </w:r>
    </w:p>
    <w:p w:rsidR="009246D8" w:rsidRPr="009246D8" w:rsidRDefault="009246D8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246D8">
        <w:rPr>
          <w:rFonts w:ascii="Times New Roman" w:hAnsi="Times New Roman" w:cs="Times New Roman"/>
          <w:bCs/>
          <w:sz w:val="24"/>
          <w:szCs w:val="26"/>
        </w:rPr>
        <w:t>1) Wykonawcę oraz uczestnika konkursu wymi</w:t>
      </w:r>
      <w:r>
        <w:rPr>
          <w:rFonts w:ascii="Times New Roman" w:hAnsi="Times New Roman" w:cs="Times New Roman"/>
          <w:bCs/>
          <w:sz w:val="24"/>
          <w:szCs w:val="26"/>
        </w:rPr>
        <w:t xml:space="preserve">enionego w wykazach określonych </w:t>
      </w:r>
      <w:r w:rsidRPr="009246D8">
        <w:rPr>
          <w:rFonts w:ascii="Times New Roman" w:hAnsi="Times New Roman" w:cs="Times New Roman"/>
          <w:bCs/>
          <w:sz w:val="24"/>
          <w:szCs w:val="26"/>
        </w:rPr>
        <w:t>w</w:t>
      </w:r>
      <w:r>
        <w:rPr>
          <w:rFonts w:ascii="Times New Roman" w:hAnsi="Times New Roman" w:cs="Times New Roman"/>
          <w:bCs/>
          <w:sz w:val="24"/>
          <w:szCs w:val="26"/>
        </w:rPr>
        <w:t> </w:t>
      </w:r>
      <w:r w:rsidRPr="009246D8">
        <w:rPr>
          <w:rFonts w:ascii="Times New Roman" w:hAnsi="Times New Roman" w:cs="Times New Roman"/>
          <w:bCs/>
          <w:sz w:val="24"/>
          <w:szCs w:val="26"/>
        </w:rPr>
        <w:t>rozporządzeniu 765/2006 i rozporządzeniu 269/2014 albo wpisanego na listę na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podstawie decyzji w sprawie wpisu na listę rozstrzygającej o zastosowaniu środka,</w:t>
      </w:r>
      <w:r>
        <w:rPr>
          <w:rFonts w:ascii="Times New Roman" w:hAnsi="Times New Roman" w:cs="Times New Roman"/>
          <w:bCs/>
          <w:sz w:val="24"/>
          <w:szCs w:val="26"/>
        </w:rPr>
        <w:t xml:space="preserve"> o którym mowa w art. </w:t>
      </w:r>
      <w:r w:rsidRPr="009246D8">
        <w:rPr>
          <w:rFonts w:ascii="Times New Roman" w:hAnsi="Times New Roman" w:cs="Times New Roman"/>
          <w:bCs/>
          <w:sz w:val="24"/>
          <w:szCs w:val="26"/>
        </w:rPr>
        <w:t>1 pkt 3 ustawy o szczególnych rozwiązaniach w zakresie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narodowego,</w:t>
      </w:r>
    </w:p>
    <w:p w:rsidR="009246D8" w:rsidRPr="009246D8" w:rsidRDefault="009246D8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246D8">
        <w:rPr>
          <w:rFonts w:ascii="Times New Roman" w:hAnsi="Times New Roman" w:cs="Times New Roman"/>
          <w:bCs/>
          <w:sz w:val="24"/>
          <w:szCs w:val="26"/>
        </w:rPr>
        <w:t>2) Wykonawcę oraz uczestnika konkursu, któ</w:t>
      </w:r>
      <w:r>
        <w:rPr>
          <w:rFonts w:ascii="Times New Roman" w:hAnsi="Times New Roman" w:cs="Times New Roman"/>
          <w:bCs/>
          <w:sz w:val="24"/>
          <w:szCs w:val="26"/>
        </w:rPr>
        <w:t xml:space="preserve">rego beneficjentem rzeczywistym </w:t>
      </w:r>
      <w:r w:rsidRPr="009246D8">
        <w:rPr>
          <w:rFonts w:ascii="Times New Roman" w:hAnsi="Times New Roman" w:cs="Times New Roman"/>
          <w:bCs/>
          <w:sz w:val="24"/>
          <w:szCs w:val="26"/>
        </w:rPr>
        <w:t>w rozumieniu ustawy z dnia 1 marca 2018 r. o przeciwdziałaniu praniu pieniędzy oraz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finansowaniu terroryzmu (Dz. U. z 2022 r., poz. 593 i 655) jest osoba wymieniona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w wykazach określonych w rozporządzeniu 765/2006 i rozporządzeniu 269/2014 albo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wpisana na listę lub będąca takim beneficjentem rzeczywistym od dnia 24 lutego 2022r., o ile została wpisana na listę na podstawie decyzji w sprawie wpisu na listę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rozstrzygającej o zastosowaniu środka, o którym mowa w art. 1 pkt 3 ustawy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o szczególnych rozwiązaniach w zakresie przeciwdziałania wspieraniu agresji na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Ukrainę oraz służących ochronie bezpieczeństwa narodowego,</w:t>
      </w:r>
    </w:p>
    <w:p w:rsidR="009246D8" w:rsidRPr="009246D8" w:rsidRDefault="009246D8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246D8">
        <w:rPr>
          <w:rFonts w:ascii="Times New Roman" w:hAnsi="Times New Roman" w:cs="Times New Roman"/>
          <w:bCs/>
          <w:sz w:val="24"/>
          <w:szCs w:val="26"/>
        </w:rPr>
        <w:t>3) Wykonawcę oraz uczestnika konkursu, którego jednostką dominującą w rozumieniu art.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3 ust. 1 pkt 37 ustawy z dnia 29 września 1994 r. o rachunkowości (Dz. U. z 2021 r.,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poz. 217, 2105 i 2106) jest podmiot wymieniony w wykazach określonych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w rozporządz</w:t>
      </w:r>
      <w:r w:rsidR="0082397A">
        <w:rPr>
          <w:rFonts w:ascii="Times New Roman" w:hAnsi="Times New Roman" w:cs="Times New Roman"/>
          <w:bCs/>
          <w:sz w:val="24"/>
          <w:szCs w:val="26"/>
        </w:rPr>
        <w:t>eniu 765/2006 i </w:t>
      </w:r>
      <w:r w:rsidRPr="009246D8">
        <w:rPr>
          <w:rFonts w:ascii="Times New Roman" w:hAnsi="Times New Roman" w:cs="Times New Roman"/>
          <w:bCs/>
          <w:sz w:val="24"/>
          <w:szCs w:val="26"/>
        </w:rPr>
        <w:t>rozporządzeniu 269/2014 albo wpisany na listę lub będący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taką jednostką dominującą od dnia 24 lutego 2022r., o ile został wpisany na listę na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podstawie decyzji w sprawie wpisu na listę rozstrzygającej o zastosowaniu środka,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o którym mowa w art. 1 pkt 3 ustawy o szczególnych rozwiązaniach w zakresie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narodowego.</w:t>
      </w:r>
    </w:p>
    <w:p w:rsidR="009246D8" w:rsidRPr="009246D8" w:rsidRDefault="009246D8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1</w:t>
      </w:r>
      <w:r w:rsidRPr="009246D8">
        <w:rPr>
          <w:rFonts w:ascii="Times New Roman" w:hAnsi="Times New Roman" w:cs="Times New Roman"/>
          <w:bCs/>
          <w:sz w:val="24"/>
          <w:szCs w:val="26"/>
          <w:vertAlign w:val="superscript"/>
        </w:rPr>
        <w:t>2</w:t>
      </w:r>
      <w:r w:rsidRPr="009246D8">
        <w:rPr>
          <w:rFonts w:ascii="Times New Roman" w:hAnsi="Times New Roman" w:cs="Times New Roman"/>
          <w:bCs/>
          <w:sz w:val="24"/>
          <w:szCs w:val="26"/>
        </w:rPr>
        <w:t>. Wykluczenie na podstawie art. 7 ust. 1 ustawy z dnia 13 kwietnia 2022 r. o szczególnych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rozwiązaniach w zakresie przeciwdziałania wspieraniu agresji na Ukrainę oraz służących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9246D8">
        <w:rPr>
          <w:rFonts w:ascii="Times New Roman" w:hAnsi="Times New Roman" w:cs="Times New Roman"/>
          <w:bCs/>
          <w:sz w:val="24"/>
          <w:szCs w:val="26"/>
        </w:rPr>
        <w:t>ochronie bezpieczeństwa narodowego (Dz. U. z 2022 r. poz. 835) następuje na okres trwania</w:t>
      </w:r>
    </w:p>
    <w:p w:rsidR="00386F04" w:rsidRPr="009246D8" w:rsidRDefault="009246D8" w:rsidP="00736FA1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246D8">
        <w:rPr>
          <w:rFonts w:ascii="Times New Roman" w:hAnsi="Times New Roman" w:cs="Times New Roman"/>
          <w:bCs/>
          <w:sz w:val="24"/>
          <w:szCs w:val="26"/>
        </w:rPr>
        <w:t xml:space="preserve">okoliczności określonych </w:t>
      </w:r>
      <w:r w:rsidR="00736FA1">
        <w:rPr>
          <w:rFonts w:ascii="Times New Roman" w:hAnsi="Times New Roman" w:cs="Times New Roman"/>
          <w:bCs/>
          <w:sz w:val="24"/>
          <w:szCs w:val="26"/>
        </w:rPr>
        <w:t>ust. 1</w:t>
      </w:r>
      <w:r w:rsidR="00736FA1" w:rsidRPr="00736FA1">
        <w:rPr>
          <w:rFonts w:ascii="Times New Roman" w:hAnsi="Times New Roman" w:cs="Times New Roman"/>
          <w:bCs/>
          <w:sz w:val="24"/>
          <w:szCs w:val="26"/>
          <w:vertAlign w:val="superscript"/>
        </w:rPr>
        <w:t>1</w:t>
      </w:r>
      <w:r w:rsidR="00736FA1">
        <w:rPr>
          <w:rFonts w:ascii="Times New Roman" w:hAnsi="Times New Roman" w:cs="Times New Roman"/>
          <w:bCs/>
          <w:sz w:val="24"/>
          <w:szCs w:val="26"/>
        </w:rPr>
        <w:t>.”</w:t>
      </w:r>
    </w:p>
    <w:p w:rsidR="00030715" w:rsidRPr="00C116FC" w:rsidRDefault="00030715" w:rsidP="00030715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Rozdział XI ust.  2 otrzymuje następujące brzmienie:</w:t>
      </w:r>
    </w:p>
    <w:p w:rsidR="00030715" w:rsidRPr="00C8603E" w:rsidRDefault="00030715" w:rsidP="0003071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„2. </w:t>
      </w:r>
      <w:r w:rsidRPr="00C86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pozostaje związany ofertą przez okres 30 dni od upływu terminu składania ofert, tj. do dnia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C86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2022 roku.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030715" w:rsidRPr="00C116FC" w:rsidRDefault="00030715" w:rsidP="00030715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6"/>
          <w:u w:val="single"/>
        </w:rPr>
        <w:t>Rozdział XIII ust. 1 i ust. 4 otrzymuje następujące brzmienie:</w:t>
      </w:r>
    </w:p>
    <w:p w:rsidR="00030715" w:rsidRDefault="00030715" w:rsidP="00030715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„1. </w:t>
      </w:r>
      <w:r w:rsidRPr="000C6FA6">
        <w:rPr>
          <w:rFonts w:ascii="Times New Roman" w:hAnsi="Times New Roman" w:cs="Times New Roman"/>
          <w:bCs/>
          <w:sz w:val="24"/>
          <w:szCs w:val="26"/>
        </w:rPr>
        <w:t>Oferty należy składać do dnia: 18 maja 2022 roku do godz. 8:30</w:t>
      </w:r>
      <w:r>
        <w:rPr>
          <w:rFonts w:ascii="Times New Roman" w:hAnsi="Times New Roman" w:cs="Times New Roman"/>
          <w:bCs/>
          <w:sz w:val="24"/>
          <w:szCs w:val="26"/>
        </w:rPr>
        <w:t>.</w:t>
      </w:r>
    </w:p>
    <w:p w:rsidR="00030715" w:rsidRPr="000C6FA6" w:rsidRDefault="00030715" w:rsidP="00030715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0C6FA6">
        <w:rPr>
          <w:rFonts w:ascii="Times New Roman" w:hAnsi="Times New Roman" w:cs="Times New Roman"/>
          <w:bCs/>
          <w:sz w:val="24"/>
          <w:szCs w:val="26"/>
        </w:rPr>
        <w:t>4.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0C6FA6">
        <w:rPr>
          <w:rFonts w:ascii="Times New Roman" w:hAnsi="Times New Roman" w:cs="Times New Roman"/>
          <w:bCs/>
          <w:sz w:val="24"/>
          <w:szCs w:val="26"/>
        </w:rPr>
        <w:t>Oferty zostaną otwarte dnia: 18 maja 2022 roku, o godz. 9:00.</w:t>
      </w:r>
      <w:r>
        <w:rPr>
          <w:rFonts w:ascii="Times New Roman" w:hAnsi="Times New Roman" w:cs="Times New Roman"/>
          <w:bCs/>
          <w:sz w:val="24"/>
          <w:szCs w:val="26"/>
        </w:rPr>
        <w:t>”</w:t>
      </w:r>
    </w:p>
    <w:p w:rsidR="000C6FA6" w:rsidRDefault="000C6FA6" w:rsidP="0003071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Domanice,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</w:t>
      </w:r>
      <w:r w:rsidR="00736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maja</w:t>
      </w:r>
      <w:r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roku</w:t>
      </w:r>
    </w:p>
    <w:p w:rsidR="002E760E" w:rsidRDefault="000C6FA6" w:rsidP="0003071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Zaakceptował:</w:t>
      </w:r>
      <w:r w:rsidR="00736F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760E"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 Zabłocki</w:t>
      </w:r>
    </w:p>
    <w:p w:rsidR="001B5E48" w:rsidRDefault="002E760E" w:rsidP="0003071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both"/>
      </w:pPr>
      <w:r w:rsidRPr="00C11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Domanice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1B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635"/>
    <w:multiLevelType w:val="hybridMultilevel"/>
    <w:tmpl w:val="E26273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47A"/>
    <w:multiLevelType w:val="hybridMultilevel"/>
    <w:tmpl w:val="F2D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80E"/>
    <w:multiLevelType w:val="hybridMultilevel"/>
    <w:tmpl w:val="BD96A8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143656"/>
    <w:multiLevelType w:val="hybridMultilevel"/>
    <w:tmpl w:val="7690FF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1023A"/>
    <w:multiLevelType w:val="hybridMultilevel"/>
    <w:tmpl w:val="B5181250"/>
    <w:lvl w:ilvl="0" w:tplc="BD9475FC">
      <w:start w:val="1"/>
      <w:numFmt w:val="decimal"/>
      <w:lvlText w:val="%1)"/>
      <w:lvlJc w:val="left"/>
      <w:pPr>
        <w:ind w:left="1722" w:hanging="360"/>
      </w:pPr>
    </w:lvl>
    <w:lvl w:ilvl="1" w:tplc="DEC6EF16">
      <w:start w:val="1"/>
      <w:numFmt w:val="lowerLetter"/>
      <w:lvlText w:val="%2."/>
      <w:lvlJc w:val="left"/>
      <w:pPr>
        <w:ind w:left="2442" w:hanging="360"/>
      </w:pPr>
    </w:lvl>
    <w:lvl w:ilvl="2" w:tplc="E0383DE4">
      <w:start w:val="1"/>
      <w:numFmt w:val="lowerRoman"/>
      <w:lvlText w:val="%3."/>
      <w:lvlJc w:val="right"/>
      <w:pPr>
        <w:ind w:left="3162" w:hanging="180"/>
      </w:pPr>
    </w:lvl>
    <w:lvl w:ilvl="3" w:tplc="CAF830FC">
      <w:start w:val="2"/>
      <w:numFmt w:val="decimal"/>
      <w:lvlText w:val="%4."/>
      <w:lvlJc w:val="left"/>
      <w:pPr>
        <w:ind w:left="3882" w:hanging="360"/>
      </w:pPr>
      <w:rPr>
        <w:rFonts w:hint="default"/>
      </w:rPr>
    </w:lvl>
    <w:lvl w:ilvl="4" w:tplc="F82661FE">
      <w:start w:val="1"/>
      <w:numFmt w:val="lowerLetter"/>
      <w:lvlText w:val="%5."/>
      <w:lvlJc w:val="left"/>
      <w:pPr>
        <w:ind w:left="4602" w:hanging="360"/>
      </w:pPr>
    </w:lvl>
    <w:lvl w:ilvl="5" w:tplc="D92877E8">
      <w:start w:val="1"/>
      <w:numFmt w:val="lowerRoman"/>
      <w:lvlText w:val="%6."/>
      <w:lvlJc w:val="right"/>
      <w:pPr>
        <w:ind w:left="5322" w:hanging="180"/>
      </w:pPr>
    </w:lvl>
    <w:lvl w:ilvl="6" w:tplc="FCAC144A">
      <w:start w:val="1"/>
      <w:numFmt w:val="decimal"/>
      <w:lvlText w:val="%7."/>
      <w:lvlJc w:val="left"/>
      <w:pPr>
        <w:ind w:left="6042" w:hanging="360"/>
      </w:pPr>
      <w:rPr>
        <w:b/>
      </w:rPr>
    </w:lvl>
    <w:lvl w:ilvl="7" w:tplc="CF9A06D6">
      <w:start w:val="1"/>
      <w:numFmt w:val="lowerLetter"/>
      <w:lvlText w:val="%8."/>
      <w:lvlJc w:val="left"/>
      <w:pPr>
        <w:ind w:left="6762" w:hanging="360"/>
      </w:pPr>
    </w:lvl>
    <w:lvl w:ilvl="8" w:tplc="B890F760">
      <w:start w:val="1"/>
      <w:numFmt w:val="lowerRoman"/>
      <w:lvlText w:val="%9."/>
      <w:lvlJc w:val="right"/>
      <w:pPr>
        <w:ind w:left="7482" w:hanging="180"/>
      </w:pPr>
    </w:lvl>
  </w:abstractNum>
  <w:abstractNum w:abstractNumId="5" w15:restartNumberingAfterBreak="0">
    <w:nsid w:val="3E3E0855"/>
    <w:multiLevelType w:val="hybridMultilevel"/>
    <w:tmpl w:val="87BC9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15B13"/>
    <w:multiLevelType w:val="hybridMultilevel"/>
    <w:tmpl w:val="60B4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6FCD"/>
    <w:multiLevelType w:val="hybridMultilevel"/>
    <w:tmpl w:val="6E6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048E"/>
    <w:multiLevelType w:val="hybridMultilevel"/>
    <w:tmpl w:val="3B42AA7C"/>
    <w:lvl w:ilvl="0" w:tplc="70780E2E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52276EAD"/>
    <w:multiLevelType w:val="hybridMultilevel"/>
    <w:tmpl w:val="506009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249142E"/>
    <w:multiLevelType w:val="hybridMultilevel"/>
    <w:tmpl w:val="B69C293A"/>
    <w:lvl w:ilvl="0" w:tplc="F38E4B8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23AF"/>
    <w:multiLevelType w:val="hybridMultilevel"/>
    <w:tmpl w:val="56ECF6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2174E9"/>
    <w:multiLevelType w:val="hybridMultilevel"/>
    <w:tmpl w:val="E2B4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1F8A"/>
    <w:multiLevelType w:val="hybridMultilevel"/>
    <w:tmpl w:val="69240A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2D3EF5"/>
    <w:multiLevelType w:val="hybridMultilevel"/>
    <w:tmpl w:val="5D74B77E"/>
    <w:lvl w:ilvl="0" w:tplc="3B382D74">
      <w:start w:val="1"/>
      <w:numFmt w:val="upperRoman"/>
      <w:pStyle w:val="Nagwek1"/>
      <w:suff w:val="space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12"/>
    <w:rsid w:val="00030715"/>
    <w:rsid w:val="000C6FA6"/>
    <w:rsid w:val="001B5E48"/>
    <w:rsid w:val="002E760E"/>
    <w:rsid w:val="00386F04"/>
    <w:rsid w:val="003F3CDE"/>
    <w:rsid w:val="00526112"/>
    <w:rsid w:val="00736FA1"/>
    <w:rsid w:val="00790DCA"/>
    <w:rsid w:val="0082397A"/>
    <w:rsid w:val="00834473"/>
    <w:rsid w:val="009246D8"/>
    <w:rsid w:val="00A61D0C"/>
    <w:rsid w:val="00AF40D8"/>
    <w:rsid w:val="00C8603E"/>
    <w:rsid w:val="00E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D314-6934-4DE8-95BB-881E72F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12"/>
  </w:style>
  <w:style w:type="paragraph" w:styleId="Nagwek1">
    <w:name w:val="heading 1"/>
    <w:basedOn w:val="Normalny"/>
    <w:next w:val="Normalny"/>
    <w:link w:val="Nagwek1Znak"/>
    <w:uiPriority w:val="9"/>
    <w:qFormat/>
    <w:rsid w:val="00526112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6112"/>
    <w:rPr>
      <w:rFonts w:ascii="Times New Roman" w:eastAsiaTheme="majorEastAsia" w:hAnsi="Times New Roman" w:cstheme="majorBidi"/>
      <w:b/>
      <w:sz w:val="24"/>
      <w:szCs w:val="32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5261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11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52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2022-05-06T10:10:00Z</dcterms:created>
  <dcterms:modified xsi:type="dcterms:W3CDTF">2022-05-10T10:41:00Z</dcterms:modified>
</cp:coreProperties>
</file>